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1800"/>
            <w:tcBorders>
              <w:top w:val="none" w:color="FFFFFF" w:sz="0"/>
              <w:left w:val="none" w:color="FFFFFF" w:sz="0"/>
              <w:bottom w:val="none" w:color="FFFFFF" w:sz="0"/>
              <w:right w:val="none" w:color="FFFFFF" w:sz="0"/>
            </w:tcBorders>
            <w:shd w:fill="111120" w:val="clear"/>
            <w:tcMar>
              <w:top w:type="dxa" w:w="200"/>
              <w:left w:type="dxa" w:w="200"/>
              <w:bottom w:type="dxa" w:w="200"/>
              <w:right w:type="dxa" w:w="200"/>
            </w:tcMar>
            <w:vAlign w:val="center"/>
          </w:tcPr>
          <w:p>
            <w:pPr>
              <w:jc w:val="center"/>
            </w:pPr>
            <w:r>
              <w:rPr>
                <w:rFonts w:ascii="Arial" w:cs="Arial" w:eastAsia="Arial" w:hAnsi="Arial"/>
                <w:b/>
                <w:bCs/>
                <w:color w:val="B71C1C"/>
                <w:sz w:val="80"/>
                <w:szCs w:val="80"/>
              </w:rPr>
              <w:t xml:space="preserve">3</w:t>
            </w:r>
          </w:p>
          <w:p>
            <w:pPr>
              <w:spacing w:after="0" w:before="0"/>
              <w:jc w:val="center"/>
            </w:pPr>
            <w:r>
              <w:rPr>
                <w:rFonts w:ascii="Arial" w:cs="Arial" w:eastAsia="Arial" w:hAnsi="Arial"/>
                <w:color w:val="777777"/>
                <w:sz w:val="18"/>
                <w:szCs w:val="18"/>
              </w:rPr>
              <w:t xml:space="preserve">STAGE</w:t>
            </w:r>
          </w:p>
        </w:tc>
        <w:tc>
          <w:tcPr>
            <w:tcW w:type="dxa" w:w="7560"/>
            <w:tcBorders>
              <w:top w:val="none" w:color="FFFFFF" w:sz="0"/>
              <w:left w:val="none" w:color="FFFFFF" w:sz="0"/>
              <w:bottom w:val="none" w:color="FFFFFF" w:sz="0"/>
              <w:right w:val="none" w:color="FFFFFF" w:sz="0"/>
            </w:tcBorders>
            <w:shd w:fill="1C1C2E" w:val="clear"/>
            <w:tcMar>
              <w:top w:type="dxa" w:w="200"/>
              <w:left w:type="dxa" w:w="280"/>
              <w:bottom w:type="dxa" w:w="200"/>
              <w:right w:type="dxa" w:w="200"/>
            </w:tcMar>
            <w:vAlign w:val="center"/>
          </w:tcPr>
          <w:p>
            <w:pPr>
              <w:spacing w:after="60" w:before="0"/>
            </w:pPr>
            <w:r>
              <w:rPr>
                <w:rFonts w:ascii="Arial" w:cs="Arial" w:eastAsia="Arial" w:hAnsi="Arial"/>
                <w:b/>
                <w:bCs/>
                <w:color w:val="B71C1C"/>
                <w:sz w:val="20"/>
                <w:szCs w:val="20"/>
              </w:rPr>
              <w:t xml:space="preserve">JURASSIC ENGLISH™  —  TEACHER MANUAL</w:t>
            </w:r>
          </w:p>
          <w:p>
            <w:pPr>
              <w:spacing w:after="40" w:before="0"/>
            </w:pPr>
            <w:r>
              <w:rPr>
                <w:rFonts w:ascii="Arial" w:cs="Arial" w:eastAsia="Arial" w:hAnsi="Arial"/>
                <w:color w:val="AAAAAA"/>
                <w:sz w:val="18"/>
                <w:szCs w:val="18"/>
              </w:rPr>
              <w:t xml:space="preserve">THE JURASSIC THINKING CYCLE™</w:t>
            </w:r>
          </w:p>
          <w:p>
            <w:pPr>
              <w:spacing w:after="80" w:before="0"/>
            </w:pPr>
            <w:r>
              <w:rPr>
                <w:rFonts w:ascii="Arial" w:cs="Arial" w:eastAsia="Arial" w:hAnsi="Arial"/>
                <w:b/>
                <w:bCs/>
                <w:color w:val="FFFFFF"/>
                <w:sz w:val="72"/>
                <w:szCs w:val="72"/>
              </w:rPr>
              <w:t xml:space="preserve">JUSTIFY</w:t>
            </w:r>
          </w:p>
          <w:p>
            <w:pPr>
              <w:spacing w:after="100" w:before="0"/>
            </w:pPr>
            <w:r>
              <w:rPr>
                <w:rFonts w:ascii="Arial" w:cs="Arial" w:eastAsia="Arial" w:hAnsi="Arial"/>
                <w:i/>
                <w:iCs/>
                <w:color w:val="CCCCCC"/>
                <w:sz w:val="22"/>
                <w:szCs w:val="22"/>
              </w:rPr>
              <w:t xml:space="preserve">Make your claim. Cite your evidence. Explain the connection. Show the impact.</w:t>
            </w:r>
          </w:p>
          <w:p>
            <w:pPr>
              <w:spacing w:after="0" w:before="60"/>
            </w:pPr>
            <w:r>
              <w:rPr>
                <w:rFonts w:ascii="Arial" w:cs="Arial" w:eastAsia="Arial" w:hAnsi="Arial"/>
                <w:color w:val="888888"/>
                <w:sz w:val="20"/>
                <w:szCs w:val="20"/>
              </w:rPr>
              <w:t xml:space="preserve">Teacher Manual  —  Instructor Edition  —  All Series Levels</w:t>
            </w:r>
          </w:p>
          <w:p>
            <w:pPr>
              <w:spacing w:after="0" w:before="20"/>
            </w:pPr>
            <w:r>
              <w:rPr>
                <w:rFonts w:ascii="Arial" w:cs="Arial" w:eastAsia="Arial" w:hAnsi="Arial"/>
                <w:color w:val="666666"/>
                <w:sz w:val="18"/>
                <w:szCs w:val="18"/>
              </w:rPr>
              <w:t xml:space="preserve">World Wise Learning © 2026</w:t>
            </w:r>
          </w:p>
        </w:tc>
      </w:tr>
    </w:tbl>
    <w:p>
      <w:pPr>
        <w:spacing w:after="60" w:before="60"/>
      </w:pPr>
      <w:r>
        <w:t xml:space="preserve"/>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71C1C" w:sz="10"/>
              <w:left w:val="single" w:color="B71C1C" w:sz="10"/>
              <w:bottom w:val="single" w:color="B71C1C" w:sz="10"/>
              <w:right w:val="single" w:color="B71C1C" w:sz="10"/>
            </w:tcBorders>
            <w:shd w:fill="2A2A3E" w:val="clear"/>
            <w:tcMar>
              <w:top w:type="dxa" w:w="160"/>
              <w:left w:type="dxa" w:w="200"/>
              <w:bottom w:type="dxa" w:w="160"/>
              <w:right w:type="dxa" w:w="200"/>
            </w:tcMar>
          </w:tcPr>
          <w:p>
            <w:pPr>
              <w:spacing w:after="60" w:before="0"/>
              <w:jc w:val="center"/>
            </w:pPr>
            <w:r>
              <w:rPr>
                <w:rFonts w:ascii="Arial" w:cs="Arial" w:eastAsia="Arial" w:hAnsi="Arial"/>
                <w:b/>
                <w:bCs/>
                <w:color w:val="AAAAAA"/>
                <w:sz w:val="20"/>
                <w:szCs w:val="20"/>
              </w:rPr>
              <w:t xml:space="preserve">FOR INSTRUCTOR USE</w:t>
            </w:r>
          </w:p>
          <w:p>
            <w:pPr>
              <w:jc w:val="center"/>
            </w:pPr>
            <w:r>
              <w:rPr>
                <w:rFonts w:ascii="Arial" w:cs="Arial" w:eastAsia="Arial" w:hAnsi="Arial"/>
                <w:b/>
                <w:bCs/>
                <w:color w:val="FFFFFF"/>
                <w:sz w:val="26"/>
                <w:szCs w:val="26"/>
              </w:rPr>
              <w:t xml:space="preserve">ANALYZE  →  EVALUATE  →  JUSTIFY  →  REFLECT</w:t>
            </w:r>
          </w:p>
          <w:p>
            <w:pPr>
              <w:spacing w:after="0" w:before="60"/>
              <w:jc w:val="center"/>
            </w:pPr>
            <w:r>
              <w:rPr>
                <w:rFonts w:ascii="Arial" w:cs="Arial" w:eastAsia="Arial" w:hAnsi="Arial"/>
                <w:i/>
                <w:iCs/>
                <w:color w:val="AAAAAA"/>
                <w:sz w:val="18"/>
                <w:szCs w:val="18"/>
              </w:rPr>
              <w:t xml:space="preserve">Four stages. Every lesson. No stage may be skipped.</w:t>
            </w:r>
          </w:p>
        </w:tc>
      </w:tr>
    </w:tbl>
    <w:p>
      <w:pPr>
        <w:sectPr>
          <w:pgSz w:w="12240" w:h="15840" w:orient="portrait"/>
          <w:pgMar w:top="1440" w:right="1440" w:bottom="1440" w:left="1440" w:header="708" w:footer="708" w:gutter="0"/>
          <w:pgNumType/>
          <w:docGrid w:linePitch="360"/>
        </w:sectPr>
      </w:pPr>
    </w:p>
    <w:p>
      <w:pPr>
        <w:pStyle w:val="Heading1"/>
        <w:pBdr>
          <w:bottom w:val="single" w:color="B71C1C" w:sz="6" w:space="4"/>
        </w:pBdr>
        <w:spacing w:after="160" w:before="360"/>
      </w:pPr>
      <w:r>
        <w:rPr>
          <w:rFonts w:ascii="Arial" w:cs="Arial" w:eastAsia="Arial" w:hAnsi="Arial"/>
          <w:b/>
          <w:bCs/>
          <w:color w:val="B71C1C"/>
          <w:sz w:val="34"/>
          <w:szCs w:val="34"/>
        </w:rPr>
        <w:t xml:space="preserve">About This Teacher Manual</w:t>
      </w:r>
    </w:p>
    <w:p>
      <w:pPr>
        <w:spacing w:after="80" w:before="80"/>
        <w:jc w:val="left"/>
      </w:pPr>
      <w:r>
        <w:rPr>
          <w:rFonts w:ascii="Arial" w:cs="Arial" w:eastAsia="Arial" w:hAnsi="Arial"/>
          <w:b w:val="false"/>
          <w:bCs w:val="false"/>
          <w:i w:val="false"/>
          <w:iCs w:val="false"/>
          <w:color w:val="1A1A1A"/>
          <w:sz w:val="22"/>
          <w:szCs w:val="22"/>
        </w:rPr>
        <w:t xml:space="preserve">This manual provides the complete instructional architecture for Stage 3: JUSTIFY of the Jurassic Thinking Cycle™. It is intended for licensed Jurassic English™ educators and should be read in conjunction with the Teacher &amp; Curriculum Guidebook v3.0 (World Wise Learning, 2026).</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71C1C" w:sz="12"/>
              <w:left w:val="single" w:color="B71C1C" w:sz="20"/>
              <w:bottom w:val="single" w:color="B71C1C" w:sz="12"/>
              <w:right w:val="single" w:color="B71C1C" w:sz="12"/>
            </w:tcBorders>
            <w:shd w:fill="FFEBEE" w:val="clear"/>
            <w:tcMar>
              <w:top w:type="dxa" w:w="160"/>
              <w:left w:type="dxa" w:w="200"/>
              <w:bottom w:type="dxa" w:w="160"/>
              <w:right w:type="dxa" w:w="160"/>
            </w:tcMar>
          </w:tcPr>
          <w:p>
            <w:pPr>
              <w:spacing w:after="80" w:before="0"/>
            </w:pPr>
            <w:r>
              <w:rPr>
                <w:rFonts w:ascii="Arial" w:cs="Arial" w:eastAsia="Arial" w:hAnsi="Arial"/>
                <w:b/>
                <w:bCs/>
                <w:color w:val="B71C1C"/>
                <w:sz w:val="22"/>
                <w:szCs w:val="22"/>
              </w:rPr>
              <w:t xml:space="preserve">The Four Commitments of a Jurassic English™ Teacher</w:t>
            </w:r>
          </w:p>
          <w:p>
            <w:pPr>
              <w:spacing w:after="40" w:before="40"/>
            </w:pPr>
            <w:r>
              <w:rPr>
                <w:rFonts w:ascii="Arial" w:cs="Arial" w:eastAsia="Arial" w:hAnsi="Arial"/>
                <w:color w:val="1A1A1A"/>
                <w:sz w:val="21"/>
                <w:szCs w:val="21"/>
              </w:rPr>
              <w:t xml:space="preserve">1. Intellectual integrity: Never accept opinion without evidence; never answer your own question; never simplify a text to remove difficulty.</w:t>
            </w:r>
          </w:p>
          <w:p>
            <w:pPr>
              <w:spacing w:after="40" w:before="40"/>
            </w:pPr>
            <w:r>
              <w:rPr>
                <w:rFonts w:ascii="Arial" w:cs="Arial" w:eastAsia="Arial" w:hAnsi="Arial"/>
                <w:color w:val="1A1A1A"/>
                <w:sz w:val="21"/>
                <w:szCs w:val="21"/>
              </w:rPr>
              <w:t xml:space="preserve">2. Structural discipline: All four Cycle stages present in every lesson; no stage skipped; no lesson ends without a Reflect prompt.</w:t>
            </w:r>
          </w:p>
          <w:p>
            <w:pPr>
              <w:spacing w:after="40" w:before="40"/>
            </w:pPr>
            <w:r>
              <w:rPr>
                <w:rFonts w:ascii="Arial" w:cs="Arial" w:eastAsia="Arial" w:hAnsi="Arial"/>
                <w:color w:val="1A1A1A"/>
                <w:sz w:val="21"/>
                <w:szCs w:val="21"/>
              </w:rPr>
              <w:t xml:space="preserve">3. Relational attunement: Read regulation cues before demanding output; know your students’ emotional baseline; never shame intellectual struggle.</w:t>
            </w:r>
          </w:p>
          <w:p>
            <w:pPr>
              <w:spacing w:after="40" w:before="40"/>
            </w:pPr>
            <w:r>
              <w:rPr>
                <w:rFonts w:ascii="Arial" w:cs="Arial" w:eastAsia="Arial" w:hAnsi="Arial"/>
                <w:color w:val="1A1A1A"/>
                <w:sz w:val="21"/>
                <w:szCs w:val="21"/>
              </w:rPr>
              <w:t xml:space="preserve">4. Ecological responsibility: Model eco-reasoning language; incorporate ecological reflection at Level 3+; connect literature to the living world.</w:t>
            </w:r>
          </w:p>
        </w:tc>
      </w:tr>
    </w:tbl>
    <w:p>
      <w:pPr>
        <w:spacing w:after="60" w:before="60"/>
      </w:pPr>
      <w:r>
        <w:t xml:space="preserve"/>
      </w:r>
    </w:p>
    <w:p>
      <w:pPr>
        <w:pStyle w:val="Heading1"/>
        <w:pBdr>
          <w:bottom w:val="single" w:color="B71C1C" w:sz="6" w:space="4"/>
        </w:pBdr>
        <w:spacing w:after="160" w:before="360"/>
      </w:pPr>
      <w:r>
        <w:rPr>
          <w:rFonts w:ascii="Arial" w:cs="Arial" w:eastAsia="Arial" w:hAnsi="Arial"/>
          <w:b/>
          <w:bCs/>
          <w:color w:val="B71C1C"/>
          <w:sz w:val="34"/>
          <w:szCs w:val="34"/>
        </w:rPr>
        <w:t xml:space="preserve">Stage Architecture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Parameter</w:t>
            </w:r>
          </w:p>
        </w:tc>
        <w:tc>
          <w:tcPr>
            <w:tcW w:type="dxa" w:w="656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Specification</w:t>
            </w:r>
          </w:p>
        </w:tc>
      </w:tr>
      <w:tr>
        <w:tc>
          <w:tcPr>
            <w:tcW w:type="dxa" w:w="2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Stage Number</w:t>
            </w:r>
          </w:p>
        </w:tc>
        <w:tc>
          <w:tcPr>
            <w:tcW w:type="dxa" w:w="6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3</w:t>
            </w:r>
          </w:p>
        </w:tc>
      </w:tr>
      <w:tr>
        <w:tc>
          <w:tcPr>
            <w:tcW w:type="dxa" w:w="2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Stage Name</w:t>
            </w:r>
          </w:p>
        </w:tc>
        <w:tc>
          <w:tcPr>
            <w:tcW w:type="dxa" w:w="6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JUSTIFY</w:t>
            </w:r>
          </w:p>
        </w:tc>
      </w:tr>
      <w:tr>
        <w:tc>
          <w:tcPr>
            <w:tcW w:type="dxa" w:w="2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Cognitive Operation</w:t>
            </w:r>
          </w:p>
        </w:tc>
        <w:tc>
          <w:tcPr>
            <w:tcW w:type="dxa" w:w="6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Support claims using textual evidence and rigorous logical reasoning.</w:t>
            </w:r>
          </w:p>
        </w:tc>
      </w:tr>
      <w:tr>
        <w:tc>
          <w:tcPr>
            <w:tcW w:type="dxa" w:w="2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Bloom’s Taxonomy Level</w:t>
            </w:r>
          </w:p>
        </w:tc>
        <w:tc>
          <w:tcPr>
            <w:tcW w:type="dxa" w:w="6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5 (Synthesis / Justification)</w:t>
            </w:r>
          </w:p>
        </w:tc>
      </w:tr>
      <w:tr>
        <w:tc>
          <w:tcPr>
            <w:tcW w:type="dxa" w:w="2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Primary Target</w:t>
            </w:r>
          </w:p>
        </w:tc>
        <w:tc>
          <w:tcPr>
            <w:tcW w:type="dxa" w:w="6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Construct</w:t>
            </w:r>
          </w:p>
        </w:tc>
      </w:tr>
      <w:tr>
        <w:tc>
          <w:tcPr>
            <w:tcW w:type="dxa" w:w="2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Lesson Slot (40-min model)</w:t>
            </w:r>
          </w:p>
        </w:tc>
        <w:tc>
          <w:tcPr>
            <w:tcW w:type="dxa" w:w="6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25–35 min</w:t>
            </w:r>
          </w:p>
        </w:tc>
      </w:tr>
      <w:tr>
        <w:tc>
          <w:tcPr>
            <w:tcW w:type="dxa" w:w="2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Primary Activity</w:t>
            </w:r>
          </w:p>
        </w:tc>
        <w:tc>
          <w:tcPr>
            <w:tcW w:type="dxa" w:w="6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Independent written justification (CEIW); quiet signal; offer sentence frame for Emerging learners</w:t>
            </w:r>
          </w:p>
        </w:tc>
      </w:tr>
      <w:tr>
        <w:tc>
          <w:tcPr>
            <w:tcW w:type="dxa" w:w="2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Assessment Type</w:t>
            </w:r>
          </w:p>
        </w:tc>
        <w:tc>
          <w:tcPr>
            <w:tcW w:type="dxa" w:w="6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Written justification</w:t>
            </w:r>
          </w:p>
        </w:tc>
      </w:tr>
      <w:tr>
        <w:tc>
          <w:tcPr>
            <w:tcW w:type="dxa" w:w="2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Assessment Form</w:t>
            </w:r>
          </w:p>
        </w:tc>
        <w:tc>
          <w:tcPr>
            <w:tcW w:type="dxa" w:w="6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CEIW paragraph collected and assessed against Four-Level Rubric</w:t>
            </w:r>
          </w:p>
        </w:tc>
      </w:tr>
      <w:tr>
        <w:tc>
          <w:tcPr>
            <w:tcW w:type="dxa" w:w="2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Teacher Action</w:t>
            </w:r>
          </w:p>
        </w:tc>
        <w:tc>
          <w:tcPr>
            <w:tcW w:type="dxa" w:w="6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Respond with written feedback within 24 hours; identify exactly which CEIW component is missing or weak.</w:t>
            </w:r>
          </w:p>
        </w:tc>
      </w:tr>
    </w:tbl>
    <w:p>
      <w:pPr>
        <w:spacing w:after="60" w:before="60"/>
      </w:pPr>
      <w:r>
        <w:t xml:space="preserve"/>
      </w:r>
    </w:p>
    <w:p>
      <w:pPr>
        <w:pStyle w:val="Heading1"/>
        <w:pBdr>
          <w:bottom w:val="single" w:color="B71C1C" w:sz="6" w:space="4"/>
        </w:pBdr>
        <w:spacing w:after="160" w:before="360"/>
      </w:pPr>
      <w:r>
        <w:rPr>
          <w:rFonts w:ascii="Arial" w:cs="Arial" w:eastAsia="Arial" w:hAnsi="Arial"/>
          <w:b/>
          <w:bCs/>
          <w:color w:val="B71C1C"/>
          <w:sz w:val="34"/>
          <w:szCs w:val="34"/>
        </w:rPr>
        <w:t xml:space="preserve">Learning Objectives</w:t>
      </w:r>
    </w:p>
    <w:p>
      <w:pPr>
        <w:spacing w:after="80" w:before="80"/>
        <w:jc w:val="left"/>
      </w:pPr>
      <w:r>
        <w:rPr>
          <w:rFonts w:ascii="Arial" w:cs="Arial" w:eastAsia="Arial" w:hAnsi="Arial"/>
          <w:b w:val="false"/>
          <w:bCs w:val="false"/>
          <w:i w:val="false"/>
          <w:iCs w:val="false"/>
          <w:color w:val="1A1A1A"/>
          <w:sz w:val="22"/>
          <w:szCs w:val="22"/>
        </w:rPr>
        <w:t xml:space="preserve">By the end of a well-executed lesson at this stage, students will demonstrate the following measurable behaviours. Objectives apply across all five series levels; the complexity of evidence and language varies by CEFR band.</w:t>
      </w:r>
    </w:p>
    <w:p>
      <w:pPr>
        <w:spacing w:after="60" w:before="60"/>
      </w:pPr>
      <w:r>
        <w:t xml:space="preserve"/>
      </w:r>
    </w:p>
    <w:p>
      <w:pPr>
        <w:pStyle w:val="ListParagraph"/>
        <w:numPr>
          <w:ilvl w:val="0"/>
          <w:numId w:val="2"/>
        </w:numPr>
        <w:spacing w:after="80" w:before="80"/>
      </w:pPr>
      <w:r>
        <w:rPr>
          <w:rFonts w:ascii="Arial" w:cs="Arial" w:eastAsia="Arial" w:hAnsi="Arial"/>
          <w:color w:val="1A1A1A"/>
          <w:sz w:val="22"/>
          <w:szCs w:val="22"/>
        </w:rPr>
        <w:t xml:space="preserve">State a clear, arguable claim (not a fact, plot summary, or retelling)</w:t>
      </w:r>
    </w:p>
    <w:p>
      <w:pPr>
        <w:pStyle w:val="ListParagraph"/>
        <w:numPr>
          <w:ilvl w:val="0"/>
          <w:numId w:val="2"/>
        </w:numPr>
        <w:spacing w:after="80" w:before="80"/>
      </w:pPr>
      <w:r>
        <w:rPr>
          <w:rFonts w:ascii="Arial" w:cs="Arial" w:eastAsia="Arial" w:hAnsi="Arial"/>
          <w:color w:val="1A1A1A"/>
          <w:sz w:val="22"/>
          <w:szCs w:val="22"/>
        </w:rPr>
        <w:t xml:space="preserve">Select purposeful textual evidence that directly supports the claim</w:t>
      </w:r>
    </w:p>
    <w:p>
      <w:pPr>
        <w:pStyle w:val="ListParagraph"/>
        <w:numPr>
          <w:ilvl w:val="0"/>
          <w:numId w:val="2"/>
        </w:numPr>
        <w:spacing w:after="80" w:before="80"/>
      </w:pPr>
      <w:r>
        <w:rPr>
          <w:rFonts w:ascii="Arial" w:cs="Arial" w:eastAsia="Arial" w:hAnsi="Arial"/>
          <w:color w:val="1A1A1A"/>
          <w:sz w:val="22"/>
          <w:szCs w:val="22"/>
        </w:rPr>
        <w:t xml:space="preserve">Write a warrant that explains WHY the evidence proves the claim</w:t>
      </w:r>
    </w:p>
    <w:p>
      <w:pPr>
        <w:pStyle w:val="ListParagraph"/>
        <w:numPr>
          <w:ilvl w:val="0"/>
          <w:numId w:val="2"/>
        </w:numPr>
        <w:spacing w:after="80" w:before="80"/>
      </w:pPr>
      <w:r>
        <w:rPr>
          <w:rFonts w:ascii="Arial" w:cs="Arial" w:eastAsia="Arial" w:hAnsi="Arial"/>
          <w:color w:val="1A1A1A"/>
          <w:sz w:val="22"/>
          <w:szCs w:val="22"/>
        </w:rPr>
        <w:t xml:space="preserve">Extend to the Impact: the significance or broader implication of the argument</w:t>
      </w:r>
    </w:p>
    <w:p>
      <w:pPr>
        <w:pStyle w:val="ListParagraph"/>
        <w:numPr>
          <w:ilvl w:val="0"/>
          <w:numId w:val="2"/>
        </w:numPr>
        <w:spacing w:after="80" w:before="80"/>
      </w:pPr>
      <w:r>
        <w:rPr>
          <w:rFonts w:ascii="Arial" w:cs="Arial" w:eastAsia="Arial" w:hAnsi="Arial"/>
          <w:color w:val="1A1A1A"/>
          <w:sz w:val="22"/>
          <w:szCs w:val="22"/>
        </w:rPr>
        <w:t xml:space="preserve">Anticipate and address counterarguments at Advanced level</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71C1C" w:sz="12"/>
              <w:left w:val="single" w:color="B71C1C" w:sz="20"/>
              <w:bottom w:val="single" w:color="B71C1C" w:sz="12"/>
              <w:right w:val="single" w:color="B71C1C" w:sz="12"/>
            </w:tcBorders>
            <w:shd w:fill="FFEBEE" w:val="clear"/>
            <w:tcMar>
              <w:top w:type="dxa" w:w="160"/>
              <w:left w:type="dxa" w:w="200"/>
              <w:bottom w:type="dxa" w:w="160"/>
              <w:right w:type="dxa" w:w="160"/>
            </w:tcMar>
          </w:tcPr>
          <w:p>
            <w:pPr>
              <w:spacing w:after="80" w:before="0"/>
            </w:pPr>
            <w:r>
              <w:rPr>
                <w:rFonts w:ascii="Arial" w:cs="Arial" w:eastAsia="Arial" w:hAnsi="Arial"/>
                <w:b/>
                <w:bCs/>
                <w:color w:val="B71C1C"/>
                <w:sz w:val="22"/>
                <w:szCs w:val="22"/>
              </w:rPr>
              <w:t xml:space="preserve">Standards Alignment</w:t>
            </w:r>
          </w:p>
          <w:p>
            <w:pPr>
              <w:spacing w:after="40" w:before="40"/>
            </w:pPr>
            <w:r>
              <w:rPr>
                <w:rFonts w:ascii="Arial" w:cs="Arial" w:eastAsia="Arial" w:hAnsi="Arial"/>
                <w:color w:val="1A1A1A"/>
                <w:sz w:val="21"/>
                <w:szCs w:val="21"/>
              </w:rPr>
              <w:t xml:space="preserve">CEFR: Mapped to B1–C1 reasoning descriptors (Appendix D, Teacher Guidebook v3.0)</w:t>
            </w:r>
          </w:p>
          <w:p>
            <w:pPr>
              <w:spacing w:after="40" w:before="40"/>
            </w:pPr>
            <w:r>
              <w:rPr>
                <w:rFonts w:ascii="Arial" w:cs="Arial" w:eastAsia="Arial" w:hAnsi="Arial"/>
                <w:color w:val="1A1A1A"/>
                <w:sz w:val="21"/>
                <w:szCs w:val="21"/>
              </w:rPr>
              <w:t xml:space="preserve">CCSS: Aligned to anchor standards for reading, writing, and speaking (Appendix E)</w:t>
            </w:r>
          </w:p>
          <w:p>
            <w:pPr>
              <w:spacing w:after="40" w:before="40"/>
            </w:pPr>
            <w:r>
              <w:rPr>
                <w:rFonts w:ascii="Arial" w:cs="Arial" w:eastAsia="Arial" w:hAnsi="Arial"/>
                <w:color w:val="1A1A1A"/>
                <w:sz w:val="21"/>
                <w:szCs w:val="21"/>
              </w:rPr>
              <w:t xml:space="preserve">Bloom’s Taxonomy: Level 5 (Synthesis / Justification) — TARGET: Construct</w:t>
            </w:r>
          </w:p>
          <w:p>
            <w:pPr>
              <w:spacing w:after="40" w:before="40"/>
            </w:pPr>
            <w:r>
              <w:rPr>
                <w:rFonts w:ascii="Arial" w:cs="Arial" w:eastAsia="Arial" w:hAnsi="Arial"/>
                <w:color w:val="1A1A1A"/>
                <w:sz w:val="21"/>
                <w:szCs w:val="21"/>
              </w:rPr>
              <w:t xml:space="preserve">UNESCO ESD: Integrated at Level 3+ through the Ecocentric Reasoning Extension (Section 19)</w:t>
            </w:r>
          </w:p>
        </w:tc>
      </w:tr>
    </w:tbl>
    <w:p>
      <w:pPr>
        <w:spacing w:after="60" w:before="60"/>
      </w:pPr>
      <w:r>
        <w:t xml:space="preserve"/>
      </w:r>
    </w:p>
    <w:p>
      <w:r>
        <w:br w:type="page"/>
      </w:r>
    </w:p>
    <w:p>
      <w:pPr>
        <w:pStyle w:val="Heading1"/>
        <w:pBdr>
          <w:bottom w:val="single" w:color="B71C1C" w:sz="6" w:space="4"/>
        </w:pBdr>
        <w:spacing w:after="160" w:before="360"/>
      </w:pPr>
      <w:r>
        <w:rPr>
          <w:rFonts w:ascii="Arial" w:cs="Arial" w:eastAsia="Arial" w:hAnsi="Arial"/>
          <w:b/>
          <w:bCs/>
          <w:color w:val="B71C1C"/>
          <w:sz w:val="34"/>
          <w:szCs w:val="34"/>
        </w:rPr>
        <w:t xml:space="preserve">Master Prompt Bank</w:t>
      </w:r>
    </w:p>
    <w:p>
      <w:pPr>
        <w:spacing w:after="80" w:before="80"/>
        <w:jc w:val="left"/>
      </w:pPr>
      <w:r>
        <w:rPr>
          <w:rFonts w:ascii="Arial" w:cs="Arial" w:eastAsia="Arial" w:hAnsi="Arial"/>
          <w:b w:val="false"/>
          <w:bCs w:val="false"/>
          <w:i w:val="false"/>
          <w:iCs w:val="false"/>
          <w:color w:val="1A1A1A"/>
          <w:sz w:val="22"/>
          <w:szCs w:val="22"/>
        </w:rPr>
        <w:t xml:space="preserve">Questions in Jurassic English™ are classified by cognitive demand. Recall and comprehension questions (Bloom’s Levels 1–2) function as scaffolding only. The target zone for all lessons is Bloom’s Levels 3–6, mapped to the Jurassic Thinking Cycle™ stages.</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4200"/>
        <w:gridCol w:w="3360"/>
      </w:tblGrid>
      <w:tr>
        <w:trPr>
          <w:tblHeader/>
        </w:trPr>
        <w:tc>
          <w:tcPr>
            <w:tcW w:type="dxa" w:w="18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Prompt Type</w:t>
            </w:r>
          </w:p>
        </w:tc>
        <w:tc>
          <w:tcPr>
            <w:tcW w:type="dxa" w:w="42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Example Prompt</w:t>
            </w:r>
          </w:p>
        </w:tc>
        <w:tc>
          <w:tcPr>
            <w:tcW w:type="dxa" w:w="336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Purpose</w:t>
            </w:r>
          </w:p>
        </w:tc>
      </w:tr>
      <w:tr>
        <w:tc>
          <w:tcPr>
            <w:tcW w:type="dxa" w:w="1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Full CEIW</w:t>
            </w:r>
          </w:p>
        </w:tc>
        <w:tc>
          <w:tcPr>
            <w:tcW w:type="dxa" w:w="4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'Write one paragraph: Claim + Evidence + Warrant + Impact.'</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Scaffold the complete four-part structure</w:t>
            </w:r>
          </w:p>
        </w:tc>
      </w:tr>
      <w:tr>
        <w:tc>
          <w:tcPr>
            <w:tcW w:type="dxa" w:w="1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Claim Isolation</w:t>
            </w:r>
          </w:p>
        </w:tc>
        <w:tc>
          <w:tcPr>
            <w:tcW w:type="dxa" w:w="4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'In one sentence, state your position on the character's decision.'</w:t>
            </w:r>
          </w:p>
        </w:tc>
        <w:tc>
          <w:tcPr>
            <w:tcW w:type="dxa" w:w="3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Build the claim before constructing the argument</w:t>
            </w:r>
          </w:p>
        </w:tc>
      </w:tr>
      <w:tr>
        <w:tc>
          <w:tcPr>
            <w:tcW w:type="dxa" w:w="1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Evidence Only</w:t>
            </w:r>
          </w:p>
        </w:tc>
        <w:tc>
          <w:tcPr>
            <w:tcW w:type="dxa" w:w="4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'Find two pieces of textual evidence that support your claim. Quote them exactly.'</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Train purposeful evidence selection</w:t>
            </w:r>
          </w:p>
        </w:tc>
      </w:tr>
      <w:tr>
        <w:tc>
          <w:tcPr>
            <w:tcW w:type="dxa" w:w="1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Warrant Prompt</w:t>
            </w:r>
          </w:p>
        </w:tc>
        <w:tc>
          <w:tcPr>
            <w:tcW w:type="dxa" w:w="4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'Explain WHY that quotation proves your claim. What is the logical connection?'</w:t>
            </w:r>
          </w:p>
        </w:tc>
        <w:tc>
          <w:tcPr>
            <w:tcW w:type="dxa" w:w="3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Target the most commonly missing component</w:t>
            </w:r>
          </w:p>
        </w:tc>
      </w:tr>
      <w:tr>
        <w:tc>
          <w:tcPr>
            <w:tcW w:type="dxa" w:w="1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Counterargument</w:t>
            </w:r>
          </w:p>
        </w:tc>
        <w:tc>
          <w:tcPr>
            <w:tcW w:type="dxa" w:w="4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'What would someone who disagrees say? How does your evidence address that?'</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Advanced-level adversarial reasoning</w:t>
            </w:r>
          </w:p>
        </w:tc>
      </w:tr>
    </w:tbl>
    <w:p>
      <w:pPr>
        <w:spacing w:after="60" w:before="60"/>
      </w:pPr>
      <w:r>
        <w:t xml:space="preserve"/>
      </w:r>
    </w:p>
    <w:p>
      <w:pPr>
        <w:pStyle w:val="Heading1"/>
        <w:pBdr>
          <w:bottom w:val="single" w:color="B71C1C" w:sz="6" w:space="4"/>
        </w:pBdr>
        <w:spacing w:after="160" w:before="360"/>
      </w:pPr>
      <w:r>
        <w:rPr>
          <w:rFonts w:ascii="Arial" w:cs="Arial" w:eastAsia="Arial" w:hAnsi="Arial"/>
          <w:b/>
          <w:bCs/>
          <w:color w:val="B71C1C"/>
          <w:sz w:val="34"/>
          <w:szCs w:val="34"/>
        </w:rPr>
        <w:t xml:space="preserve">Accountable Talk Moves</w:t>
      </w:r>
    </w:p>
    <w:p>
      <w:pPr>
        <w:spacing w:after="80" w:before="80"/>
        <w:jc w:val="left"/>
      </w:pPr>
      <w:r>
        <w:rPr>
          <w:rFonts w:ascii="Arial" w:cs="Arial" w:eastAsia="Arial" w:hAnsi="Arial"/>
          <w:b w:val="false"/>
          <w:bCs w:val="false"/>
          <w:i w:val="false"/>
          <w:iCs w:val="false"/>
          <w:color w:val="1A1A1A"/>
          <w:sz w:val="22"/>
          <w:szCs w:val="22"/>
        </w:rPr>
        <w:t xml:space="preserve">These teacher moves are used specifically at the Justify stage to push reasoning quality and maintain intellectual accountability.</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4460"/>
        <w:gridCol w:w="3200"/>
      </w:tblGrid>
      <w:tr>
        <w:trPr>
          <w:tblHeader/>
        </w:trPr>
        <w:tc>
          <w:tcPr>
            <w:tcW w:type="dxa" w:w="17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Move</w:t>
            </w:r>
          </w:p>
        </w:tc>
        <w:tc>
          <w:tcPr>
            <w:tcW w:type="dxa" w:w="446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Teacher Language</w:t>
            </w:r>
          </w:p>
        </w:tc>
        <w:tc>
          <w:tcPr>
            <w:tcW w:type="dxa" w:w="32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Purpose</w:t>
            </w:r>
          </w:p>
        </w:tc>
      </w:tr>
      <w:tr>
        <w:tc>
          <w:tcPr>
            <w:tcW w:type="dxa" w:w="17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Challenging</w:t>
            </w:r>
          </w:p>
        </w:tc>
        <w:tc>
          <w:tcPr>
            <w:tcW w:type="dxa" w:w="44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'What in the text supports that?'</w:t>
            </w:r>
          </w:p>
        </w:tc>
        <w:tc>
          <w:tcPr>
            <w:tcW w:type="dxa" w:w="3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Push for evidence</w:t>
            </w:r>
          </w:p>
        </w:tc>
      </w:tr>
      <w:tr>
        <w:tc>
          <w:tcPr>
            <w:tcW w:type="dxa" w:w="17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Pressing</w:t>
            </w:r>
          </w:p>
        </w:tc>
        <w:tc>
          <w:tcPr>
            <w:tcW w:type="dxa" w:w="44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'Say more about why that evidence proves your claim.'</w:t>
            </w:r>
          </w:p>
        </w:tc>
        <w:tc>
          <w:tcPr>
            <w:tcW w:type="dxa" w:w="3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Elicit the warrant explicitly</w:t>
            </w:r>
          </w:p>
        </w:tc>
      </w:tr>
      <w:tr>
        <w:tc>
          <w:tcPr>
            <w:tcW w:type="dxa" w:w="17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Marking</w:t>
            </w:r>
          </w:p>
        </w:tc>
        <w:tc>
          <w:tcPr>
            <w:tcW w:type="dxa" w:w="44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'That is a warrant because you explained the connection.'</w:t>
            </w:r>
          </w:p>
        </w:tc>
        <w:tc>
          <w:tcPr>
            <w:tcW w:type="dxa" w:w="3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Reinforce the structure publicly</w:t>
            </w:r>
          </w:p>
        </w:tc>
      </w:tr>
      <w:tr>
        <w:tc>
          <w:tcPr>
            <w:tcW w:type="dxa" w:w="17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Linking</w:t>
            </w:r>
          </w:p>
        </w:tc>
        <w:tc>
          <w:tcPr>
            <w:tcW w:type="dxa" w:w="44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'How does your justification build on what we analysed?'</w:t>
            </w:r>
          </w:p>
        </w:tc>
        <w:tc>
          <w:tcPr>
            <w:tcW w:type="dxa" w:w="3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Connect back to Stage 1 evidence</w:t>
            </w:r>
          </w:p>
        </w:tc>
      </w:tr>
    </w:tbl>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97706" w:sz="12"/>
              <w:left w:val="single" w:color="D97706" w:sz="20"/>
              <w:bottom w:val="single" w:color="D97706" w:sz="12"/>
              <w:right w:val="single" w:color="D97706" w:sz="12"/>
            </w:tcBorders>
            <w:shd w:fill="FFF9E6" w:val="clear"/>
            <w:tcMar>
              <w:top w:type="dxa" w:w="160"/>
              <w:left w:type="dxa" w:w="200"/>
              <w:bottom w:type="dxa" w:w="160"/>
              <w:right w:type="dxa" w:w="160"/>
            </w:tcMar>
          </w:tcPr>
          <w:p>
            <w:pPr>
              <w:spacing w:after="80" w:before="0"/>
            </w:pPr>
            <w:r>
              <w:rPr>
                <w:rFonts w:ascii="Arial" w:cs="Arial" w:eastAsia="Arial" w:hAnsi="Arial"/>
                <w:b/>
                <w:bCs/>
                <w:color w:val="D97706"/>
                <w:sz w:val="22"/>
                <w:szCs w:val="22"/>
              </w:rPr>
              <w:t xml:space="preserve">Prohibited Dialogue Practices (Section 8.3, Guidebook v3.0)</w:t>
            </w:r>
          </w:p>
          <w:p>
            <w:pPr>
              <w:spacing w:after="40" w:before="40"/>
            </w:pPr>
            <w:r>
              <w:rPr>
                <w:rFonts w:ascii="Arial" w:cs="Arial" w:eastAsia="Arial" w:hAnsi="Arial"/>
                <w:color w:val="1A1A1A"/>
                <w:sz w:val="21"/>
                <w:szCs w:val="21"/>
              </w:rPr>
              <w:t xml:space="preserve">Never answer your own question: wait 7 seconds; rephrase; pair-share first.</w:t>
            </w:r>
          </w:p>
          <w:p>
            <w:pPr>
              <w:spacing w:after="40" w:before="40"/>
            </w:pPr>
            <w:r>
              <w:rPr>
                <w:rFonts w:ascii="Arial" w:cs="Arial" w:eastAsia="Arial" w:hAnsi="Arial"/>
                <w:color w:val="1A1A1A"/>
                <w:sz w:val="21"/>
                <w:szCs w:val="21"/>
              </w:rPr>
              <w:t xml:space="preserve">Never accept ‘I don’t know’ without pressing: ‘Take a guess. What might be one reason?’</w:t>
            </w:r>
          </w:p>
          <w:p>
            <w:pPr>
              <w:spacing w:after="40" w:before="40"/>
            </w:pPr>
            <w:r>
              <w:rPr>
                <w:rFonts w:ascii="Arial" w:cs="Arial" w:eastAsia="Arial" w:hAnsi="Arial"/>
                <w:color w:val="1A1A1A"/>
                <w:sz w:val="21"/>
                <w:szCs w:val="21"/>
              </w:rPr>
              <w:t xml:space="preserve">Never praise content-free responses. Mark the reasoning instead: ‘That was a justify because…’</w:t>
            </w:r>
          </w:p>
        </w:tc>
      </w:tr>
    </w:tbl>
    <w:p>
      <w:pPr>
        <w:spacing w:after="60" w:before="60"/>
      </w:pPr>
      <w:r>
        <w:t xml:space="preserve"/>
      </w:r>
    </w:p>
    <w:p>
      <w:r>
        <w:br w:type="page"/>
      </w:r>
    </w:p>
    <w:p>
      <w:pPr>
        <w:pStyle w:val="Heading1"/>
        <w:pBdr>
          <w:bottom w:val="single" w:color="B71C1C" w:sz="6" w:space="4"/>
        </w:pBdr>
        <w:spacing w:after="160" w:before="360"/>
      </w:pPr>
      <w:r>
        <w:rPr>
          <w:rFonts w:ascii="Arial" w:cs="Arial" w:eastAsia="Arial" w:hAnsi="Arial"/>
          <w:b/>
          <w:bCs/>
          <w:color w:val="B71C1C"/>
          <w:sz w:val="34"/>
          <w:szCs w:val="34"/>
        </w:rPr>
        <w:t xml:space="preserve">Differentiation Matrix</w:t>
      </w:r>
    </w:p>
    <w:p>
      <w:pPr>
        <w:spacing w:after="80" w:before="80"/>
        <w:jc w:val="left"/>
      </w:pPr>
      <w:r>
        <w:rPr>
          <w:rFonts w:ascii="Arial" w:cs="Arial" w:eastAsia="Arial" w:hAnsi="Arial"/>
          <w:b w:val="false"/>
          <w:bCs w:val="false"/>
          <w:i w:val="false"/>
          <w:iCs w:val="false"/>
          <w:color w:val="1A1A1A"/>
          <w:sz w:val="22"/>
          <w:szCs w:val="22"/>
        </w:rPr>
        <w:t xml:space="preserve">Accommodation lowers barriers; it never lowers cognitive expectations. The reasoning demand of the Justify stage is preserved for all learners. Access pathways vary; the destination does not.</w:t>
      </w:r>
    </w:p>
    <w:p>
      <w:pPr>
        <w:spacing w:after="60" w:before="60"/>
      </w:pPr>
      <w:r>
        <w:t xml:space="preserve"/>
      </w:r>
    </w:p>
    <w:p>
      <w:pPr>
        <w:pStyle w:val="Heading2"/>
        <w:spacing w:after="120" w:before="280"/>
      </w:pPr>
      <w:r>
        <w:rPr>
          <w:rFonts w:ascii="Arial" w:cs="Arial" w:eastAsia="Arial" w:hAnsi="Arial"/>
          <w:b/>
          <w:bCs/>
          <w:color w:val="B71C1C"/>
          <w:sz w:val="28"/>
          <w:szCs w:val="28"/>
        </w:rPr>
        <w:t xml:space="preserve">Language and Reasoning Differentiation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2600"/>
        <w:gridCol w:w="2600"/>
        <w:gridCol w:w="2560"/>
      </w:tblGrid>
      <w:tr>
        <w:trPr>
          <w:tblHeader/>
        </w:trPr>
        <w:tc>
          <w:tcPr>
            <w:tcW w:type="dxa" w:w="16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Task</w:t>
            </w:r>
          </w:p>
        </w:tc>
        <w:tc>
          <w:tcPr>
            <w:tcW w:type="dxa" w:w="26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Emerging</w:t>
            </w:r>
          </w:p>
        </w:tc>
        <w:tc>
          <w:tcPr>
            <w:tcW w:type="dxa" w:w="26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Developing</w:t>
            </w:r>
          </w:p>
        </w:tc>
        <w:tc>
          <w:tcPr>
            <w:tcW w:type="dxa" w:w="256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Proficient</w:t>
            </w:r>
          </w:p>
        </w:tc>
      </w:tr>
      <w:tr>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Justification</w:t>
            </w:r>
          </w:p>
        </w:tc>
        <w:tc>
          <w:tcPr>
            <w:tcW w:type="dxa" w:w="2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Sentence frame: ‘I think ___ because the text says ___.’</w:t>
            </w:r>
          </w:p>
        </w:tc>
        <w:tc>
          <w:tcPr>
            <w:tcW w:type="dxa" w:w="2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Paragraph frame: Claim + Evidence + partial warrant</w:t>
            </w:r>
          </w:p>
        </w:tc>
        <w:tc>
          <w:tcPr>
            <w:tcW w:type="dxa" w:w="2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Full CEIW paragraph independently</w:t>
            </w:r>
          </w:p>
        </w:tc>
      </w:tr>
      <w:tr>
        <w:tc>
          <w:tcPr>
            <w:tcW w:type="dxa" w:w="1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Discussion</w:t>
            </w:r>
          </w:p>
        </w:tc>
        <w:tc>
          <w:tcPr>
            <w:tcW w:type="dxa" w:w="2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Pair-share then whole group; scripted sentence starters</w:t>
            </w:r>
          </w:p>
        </w:tc>
        <w:tc>
          <w:tcPr>
            <w:tcW w:type="dxa" w:w="2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Partner discussion with open prompt</w:t>
            </w:r>
          </w:p>
        </w:tc>
        <w:tc>
          <w:tcPr>
            <w:tcW w:type="dxa" w:w="2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Spontaneous accountable talk; press peers for evidence</w:t>
            </w:r>
          </w:p>
        </w:tc>
      </w:tr>
      <w:tr>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Reflection</w:t>
            </w:r>
          </w:p>
        </w:tc>
        <w:tc>
          <w:tcPr>
            <w:tcW w:type="dxa" w:w="2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Descriptive: ‘What happened?’</w:t>
            </w:r>
          </w:p>
        </w:tc>
        <w:tc>
          <w:tcPr>
            <w:tcW w:type="dxa" w:w="2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Personal: ‘Have you felt like this character?’</w:t>
            </w:r>
          </w:p>
        </w:tc>
        <w:tc>
          <w:tcPr>
            <w:tcW w:type="dxa" w:w="2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Ethical + Ecological: ‘What does this mean for how we live?’</w:t>
            </w:r>
          </w:p>
        </w:tc>
      </w:tr>
    </w:tbl>
    <w:p>
      <w:pPr>
        <w:spacing w:after="60" w:before="60"/>
      </w:pPr>
      <w:r>
        <w:t xml:space="preserve"/>
      </w:r>
    </w:p>
    <w:p>
      <w:pPr>
        <w:pStyle w:val="Heading2"/>
        <w:spacing w:after="120" w:before="280"/>
      </w:pPr>
      <w:r>
        <w:rPr>
          <w:rFonts w:ascii="Arial" w:cs="Arial" w:eastAsia="Arial" w:hAnsi="Arial"/>
          <w:b/>
          <w:bCs/>
          <w:color w:val="B71C1C"/>
          <w:sz w:val="28"/>
          <w:szCs w:val="28"/>
        </w:rPr>
        <w:t xml:space="preserve">Special Learning Difference Accommodations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4000"/>
        <w:gridCol w:w="3360"/>
      </w:tblGrid>
      <w:tr>
        <w:trPr>
          <w:tblHeader/>
        </w:trPr>
        <w:tc>
          <w:tcPr>
            <w:tcW w:type="dxa" w:w="20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Learning Difference</w:t>
            </w:r>
          </w:p>
        </w:tc>
        <w:tc>
          <w:tcPr>
            <w:tcW w:type="dxa" w:w="40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Accommodation</w:t>
            </w:r>
          </w:p>
        </w:tc>
        <w:tc>
          <w:tcPr>
            <w:tcW w:type="dxa" w:w="336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Non-Negotiable Preservation</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Dyslexia</w:t>
            </w:r>
          </w:p>
        </w:tc>
        <w:tc>
          <w:tcPr>
            <w:tcW w:type="dxa" w:w="4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Audio text; speech-to-text; oral justification accepted</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Full CEIW structure still required orally</w:t>
            </w:r>
          </w:p>
        </w:tc>
      </w:tr>
      <w:tr>
        <w:tc>
          <w:tcPr>
            <w:tcW w:type="dxa" w:w="2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ADHD</w:t>
            </w:r>
          </w:p>
        </w:tc>
        <w:tc>
          <w:tcPr>
            <w:tcW w:type="dxa" w:w="4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Timer-based sprints (10 min max per task); movement breaks; fidget tools</w:t>
            </w:r>
          </w:p>
        </w:tc>
        <w:tc>
          <w:tcPr>
            <w:tcW w:type="dxa" w:w="3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All four Cycle stages completed; no stage skipped</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Autism Spectrum</w:t>
            </w:r>
          </w:p>
        </w:tc>
        <w:tc>
          <w:tcPr>
            <w:tcW w:type="dxa" w:w="4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Predictable transition signals; written rather than oral option</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Evidence-based reasoning required in written form</w:t>
            </w:r>
          </w:p>
        </w:tc>
      </w:tr>
      <w:tr>
        <w:tc>
          <w:tcPr>
            <w:tcW w:type="dxa" w:w="2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High Anxiety</w:t>
            </w:r>
          </w:p>
        </w:tc>
        <w:tc>
          <w:tcPr>
            <w:tcW w:type="dxa" w:w="4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Private written response before public sharing; no cold-calling</w:t>
            </w:r>
          </w:p>
        </w:tc>
        <w:tc>
          <w:tcPr>
            <w:tcW w:type="dxa" w:w="3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Still required to share reasoning, with advance notice given</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EAL / ESL</w:t>
            </w:r>
          </w:p>
        </w:tc>
        <w:tc>
          <w:tcPr>
            <w:tcW w:type="dxa" w:w="4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Bilingual glossary; home-language pre-discussion; sentence frames</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Target-language output required for assessed tasks</w:t>
            </w:r>
          </w:p>
        </w:tc>
      </w:tr>
    </w:tbl>
    <w:p>
      <w:pPr>
        <w:spacing w:after="60" w:before="60"/>
      </w:pPr>
      <w:r>
        <w:t xml:space="preserve"/>
      </w:r>
    </w:p>
    <w:p>
      <w:pPr>
        <w:pStyle w:val="Heading1"/>
        <w:pBdr>
          <w:bottom w:val="single" w:color="B71C1C" w:sz="6" w:space="4"/>
        </w:pBdr>
        <w:spacing w:after="160" w:before="360"/>
      </w:pPr>
      <w:r>
        <w:rPr>
          <w:rFonts w:ascii="Arial" w:cs="Arial" w:eastAsia="Arial" w:hAnsi="Arial"/>
          <w:b/>
          <w:bCs/>
          <w:color w:val="B71C1C"/>
          <w:sz w:val="34"/>
          <w:szCs w:val="34"/>
        </w:rPr>
        <w:t xml:space="preserve">Common Errors and Correction Strategies</w:t>
      </w:r>
    </w:p>
    <w:p>
      <w:pPr>
        <w:spacing w:after="80" w:before="80"/>
        <w:jc w:val="left"/>
      </w:pPr>
      <w:r>
        <w:rPr>
          <w:rFonts w:ascii="Arial" w:cs="Arial" w:eastAsia="Arial" w:hAnsi="Arial"/>
          <w:b w:val="false"/>
          <w:bCs w:val="false"/>
          <w:i w:val="false"/>
          <w:iCs w:val="false"/>
          <w:color w:val="1A1A1A"/>
          <w:sz w:val="22"/>
          <w:szCs w:val="22"/>
        </w:rPr>
        <w:t xml:space="preserve">These are the most frequently observed errors at the Justify stage, with evidence-based correction moves sourced from Jurassic English™ classroom data.</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3680"/>
        <w:gridCol w:w="3680"/>
      </w:tblGrid>
      <w:tr>
        <w:trPr>
          <w:tblHeader/>
        </w:trPr>
        <w:tc>
          <w:tcPr>
            <w:tcW w:type="dxa" w:w="20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Error Type</w:t>
            </w:r>
          </w:p>
        </w:tc>
        <w:tc>
          <w:tcPr>
            <w:tcW w:type="dxa" w:w="368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What It Looks Like</w:t>
            </w:r>
          </w:p>
        </w:tc>
        <w:tc>
          <w:tcPr>
            <w:tcW w:type="dxa" w:w="368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Correction Move</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Warrant missing</w:t>
            </w:r>
          </w:p>
        </w:tc>
        <w:tc>
          <w:tcPr>
            <w:tcW w:type="dxa" w:w="36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Student writes Claim + Evidence but no logical connection. The single most common error.</w:t>
            </w:r>
          </w:p>
        </w:tc>
        <w:tc>
          <w:tcPr>
            <w:tcW w:type="dxa" w:w="36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'You have a claim and evidence. The warrant is missing. Ask: WHY does that quote prove your claim?'</w:t>
            </w:r>
          </w:p>
        </w:tc>
      </w:tr>
      <w:tr>
        <w:tc>
          <w:tcPr>
            <w:tcW w:type="dxa" w:w="2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Paraphrase instead of quote</w:t>
            </w:r>
          </w:p>
        </w:tc>
        <w:tc>
          <w:tcPr>
            <w:tcW w:type="dxa" w:w="36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Student summarises rather than citing exact textual language.</w:t>
            </w:r>
          </w:p>
        </w:tc>
        <w:tc>
          <w:tcPr>
            <w:tcW w:type="dxa" w:w="36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Model: 'The text states: "..."'. Require explicit quotation marks in all written work.</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Claim is a fact or summary</w:t>
            </w:r>
          </w:p>
        </w:tc>
        <w:tc>
          <w:tcPr>
            <w:tcW w:type="dxa" w:w="36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Student writes 'Charlotte helped Wilbur' — not arguable.</w:t>
            </w:r>
          </w:p>
        </w:tc>
        <w:tc>
          <w:tcPr>
            <w:tcW w:type="dxa" w:w="36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'Could someone disagree with this? No? Then it is a fact, not a claim. Make it arguable.'</w:t>
            </w:r>
          </w:p>
        </w:tc>
      </w:tr>
      <w:tr>
        <w:tc>
          <w:tcPr>
            <w:tcW w:type="dxa" w:w="2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Impact omitted</w:t>
            </w:r>
          </w:p>
        </w:tc>
        <w:tc>
          <w:tcPr>
            <w:tcW w:type="dxa" w:w="36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Student stops after the warrant; does not extend significance.</w:t>
            </w:r>
          </w:p>
        </w:tc>
        <w:tc>
          <w:tcPr>
            <w:tcW w:type="dxa" w:w="36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'So what? Why does this matter beyond this paragraph? What does this reveal about humans or the living world?'</w:t>
            </w:r>
          </w:p>
        </w:tc>
      </w:tr>
    </w:tbl>
    <w:p>
      <w:pPr>
        <w:spacing w:after="60" w:before="60"/>
      </w:pPr>
      <w:r>
        <w:t xml:space="preserve"/>
      </w:r>
    </w:p>
    <w:p>
      <w:r>
        <w:br w:type="page"/>
      </w:r>
    </w:p>
    <w:p>
      <w:pPr>
        <w:pStyle w:val="Heading1"/>
        <w:pBdr>
          <w:bottom w:val="single" w:color="B71C1C" w:sz="6" w:space="4"/>
        </w:pBdr>
        <w:spacing w:after="160" w:before="360"/>
      </w:pPr>
      <w:r>
        <w:rPr>
          <w:rFonts w:ascii="Arial" w:cs="Arial" w:eastAsia="Arial" w:hAnsi="Arial"/>
          <w:b/>
          <w:bCs/>
          <w:color w:val="B71C1C"/>
          <w:sz w:val="34"/>
          <w:szCs w:val="34"/>
        </w:rPr>
        <w:t xml:space="preserve">Assessment: Four-Level Reasoning Rubric</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71C1C" w:sz="12"/>
              <w:left w:val="single" w:color="B71C1C" w:sz="20"/>
              <w:bottom w:val="single" w:color="B71C1C" w:sz="12"/>
              <w:right w:val="single" w:color="B71C1C" w:sz="12"/>
            </w:tcBorders>
            <w:shd w:fill="FFEBEE" w:val="clear"/>
            <w:tcMar>
              <w:top w:type="dxa" w:w="160"/>
              <w:left w:type="dxa" w:w="200"/>
              <w:bottom w:type="dxa" w:w="160"/>
              <w:right w:type="dxa" w:w="160"/>
            </w:tcMar>
          </w:tcPr>
          <w:p>
            <w:pPr>
              <w:spacing w:after="80" w:before="0"/>
            </w:pPr>
            <w:r>
              <w:rPr>
                <w:rFonts w:ascii="Arial" w:cs="Arial" w:eastAsia="Arial" w:hAnsi="Arial"/>
                <w:b/>
                <w:bCs/>
                <w:color w:val="B71C1C"/>
                <w:sz w:val="22"/>
                <w:szCs w:val="22"/>
              </w:rPr>
              <w:t xml:space="preserve">Assessment Philosophy (Section 9.1, Guidebook v3.0)</w:t>
            </w:r>
          </w:p>
          <w:p>
            <w:pPr>
              <w:spacing w:after="40" w:before="40"/>
            </w:pPr>
            <w:r>
              <w:rPr>
                <w:rFonts w:ascii="Arial" w:cs="Arial" w:eastAsia="Arial" w:hAnsi="Arial"/>
                <w:color w:val="1A1A1A"/>
                <w:sz w:val="21"/>
                <w:szCs w:val="21"/>
              </w:rPr>
              <w:t xml:space="preserve">Jurassic English™ assesses the logic of the reasoning link, not merely the presence of a quotation.</w:t>
            </w:r>
          </w:p>
          <w:p>
            <w:pPr>
              <w:spacing w:after="40" w:before="40"/>
            </w:pPr>
            <w:r>
              <w:rPr>
                <w:rFonts w:ascii="Arial" w:cs="Arial" w:eastAsia="Arial" w:hAnsi="Arial"/>
                <w:color w:val="1A1A1A"/>
                <w:sz w:val="21"/>
                <w:szCs w:val="21"/>
              </w:rPr>
              <w:t xml:space="preserve">A student who cites evidence but cannot explain the connection between evidence and claim has not yet demonstrated proficient reasoning.</w:t>
            </w:r>
          </w:p>
          <w:p>
            <w:pPr>
              <w:spacing w:after="40" w:before="40"/>
            </w:pPr>
            <w:r>
              <w:rPr>
                <w:rFonts w:ascii="Arial" w:cs="Arial" w:eastAsia="Arial" w:hAnsi="Arial"/>
                <w:color w:val="1A1A1A"/>
                <w:sz w:val="21"/>
                <w:szCs w:val="21"/>
              </w:rPr>
              <w:t xml:space="preserve">The rubric is shared with students before instruction begins and used consistently for both formative and summative purposes.</w:t>
            </w:r>
          </w:p>
        </w:tc>
      </w:tr>
    </w:tbl>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4480"/>
        <w:gridCol w:w="3280"/>
      </w:tblGrid>
      <w:tr>
        <w:trPr>
          <w:tblHeader/>
        </w:trPr>
        <w:tc>
          <w:tcPr>
            <w:tcW w:type="dxa" w:w="16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Level</w:t>
            </w:r>
          </w:p>
        </w:tc>
        <w:tc>
          <w:tcPr>
            <w:tcW w:type="dxa" w:w="448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Justify Stage Descriptor</w:t>
            </w:r>
          </w:p>
        </w:tc>
        <w:tc>
          <w:tcPr>
            <w:tcW w:type="dxa" w:w="328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Teacher Response</w:t>
            </w:r>
          </w:p>
        </w:tc>
      </w:tr>
      <w:tr>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1 — Emerging</w:t>
            </w:r>
          </w:p>
        </w:tc>
        <w:tc>
          <w:tcPr>
            <w:tcW w:type="dxa" w:w="44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Opinion stated; no textual evidence cited; no warrant; no CEIW structure present.</w:t>
            </w:r>
          </w:p>
        </w:tc>
        <w:tc>
          <w:tcPr>
            <w:tcW w:type="dxa" w:w="32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Provide sentence frame; model the missing component; require re-attempt before moving on.</w:t>
            </w:r>
          </w:p>
        </w:tc>
      </w:tr>
      <w:tr>
        <w:tc>
          <w:tcPr>
            <w:tcW w:type="dxa" w:w="1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2 — Developing</w:t>
            </w:r>
          </w:p>
        </w:tc>
        <w:tc>
          <w:tcPr>
            <w:tcW w:type="dxa" w:w="44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Evidence present but warrant absent or unclear; quotation included but logical connection not explained.</w:t>
            </w:r>
          </w:p>
        </w:tc>
        <w:tc>
          <w:tcPr>
            <w:tcW w:type="dxa" w:w="32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Press for the missing component by name. Identify exactly what is absent.</w:t>
            </w:r>
          </w:p>
        </w:tc>
      </w:tr>
      <w:tr>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3 — Proficient</w:t>
            </w:r>
          </w:p>
        </w:tc>
        <w:tc>
          <w:tcPr>
            <w:tcW w:type="dxa" w:w="44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Full CEIW structure present; claim is arguable; warrant explains the logical link clearly and accurately.</w:t>
            </w:r>
          </w:p>
        </w:tc>
        <w:tc>
          <w:tcPr>
            <w:tcW w:type="dxa" w:w="32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Mark publicly; identify the specific strength; offer a stretch prompt.</w:t>
            </w:r>
          </w:p>
        </w:tc>
      </w:tr>
      <w:tr>
        <w:tc>
          <w:tcPr>
            <w:tcW w:type="dxa" w:w="1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4 — Advanced</w:t>
            </w:r>
          </w:p>
        </w:tc>
        <w:tc>
          <w:tcPr>
            <w:tcW w:type="dxa" w:w="44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Full CEIW with counterargument; multiple evidence points; evaluates evidence strength; extends to broader implications or ecological dimension.</w:t>
            </w:r>
          </w:p>
        </w:tc>
        <w:tc>
          <w:tcPr>
            <w:tcW w:type="dxa" w:w="32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Use as a model for class discussion; ask the student to teach the structure to a peer.</w:t>
            </w:r>
          </w:p>
        </w:tc>
      </w:tr>
    </w:tbl>
    <w:p>
      <w:pPr>
        <w:spacing w:after="60" w:before="60"/>
      </w:pPr>
      <w:r>
        <w:t xml:space="preserve"/>
      </w:r>
    </w:p>
    <w:p>
      <w:pPr>
        <w:pStyle w:val="Heading2"/>
        <w:spacing w:after="120" w:before="280"/>
      </w:pPr>
      <w:r>
        <w:rPr>
          <w:rFonts w:ascii="Arial" w:cs="Arial" w:eastAsia="Arial" w:hAnsi="Arial"/>
          <w:b/>
          <w:bCs/>
          <w:color w:val="B71C1C"/>
          <w:sz w:val="28"/>
          <w:szCs w:val="28"/>
        </w:rPr>
        <w:t xml:space="preserve">Formative Assessment Sequence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1800"/>
        <w:gridCol w:w="2980"/>
        <w:gridCol w:w="2880"/>
      </w:tblGrid>
      <w:tr>
        <w:trPr>
          <w:tblHeader/>
        </w:trPr>
        <w:tc>
          <w:tcPr>
            <w:tcW w:type="dxa" w:w="17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Assessment Type</w:t>
            </w:r>
          </w:p>
        </w:tc>
        <w:tc>
          <w:tcPr>
            <w:tcW w:type="dxa" w:w="18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Timing</w:t>
            </w:r>
          </w:p>
        </w:tc>
        <w:tc>
          <w:tcPr>
            <w:tcW w:type="dxa" w:w="298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Form</w:t>
            </w:r>
          </w:p>
        </w:tc>
        <w:tc>
          <w:tcPr>
            <w:tcW w:type="dxa" w:w="288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Teacher Action</w:t>
            </w:r>
          </w:p>
        </w:tc>
      </w:tr>
      <w:tr>
        <w:tc>
          <w:tcPr>
            <w:tcW w:type="dxa" w:w="17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Written justification</w:t>
            </w:r>
          </w:p>
        </w:tc>
        <w:tc>
          <w:tcPr>
            <w:tcW w:type="dxa" w:w="1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During Justify stage</w:t>
            </w:r>
          </w:p>
        </w:tc>
        <w:tc>
          <w:tcPr>
            <w:tcW w:type="dxa" w:w="29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CEIW paragraph collected and assessed against Four-Level Rubric</w:t>
            </w:r>
          </w:p>
        </w:tc>
        <w:tc>
          <w:tcPr>
            <w:tcW w:type="dxa" w:w="28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Respond with written feedback within 24 hours; identify exactly which CEIW component is missing or weak.</w:t>
            </w:r>
          </w:p>
        </w:tc>
      </w:tr>
    </w:tbl>
    <w:p>
      <w:pPr>
        <w:spacing w:after="60" w:before="60"/>
      </w:pPr>
      <w:r>
        <w:t xml:space="preserve"/>
      </w:r>
    </w:p>
    <w:p>
      <w:pPr>
        <w:pStyle w:val="Heading2"/>
        <w:spacing w:after="120" w:before="280"/>
      </w:pPr>
      <w:r>
        <w:rPr>
          <w:rFonts w:ascii="Arial" w:cs="Arial" w:eastAsia="Arial" w:hAnsi="Arial"/>
          <w:b/>
          <w:bCs/>
          <w:color w:val="B71C1C"/>
          <w:sz w:val="28"/>
          <w:szCs w:val="28"/>
        </w:rPr>
        <w:t xml:space="preserve">WWL Portfolio Standard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3000"/>
        <w:gridCol w:w="2560"/>
      </w:tblGrid>
      <w:tr>
        <w:trPr>
          <w:tblHeader/>
        </w:trPr>
        <w:tc>
          <w:tcPr>
            <w:tcW w:type="dxa" w:w="22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Portfolio Component</w:t>
            </w:r>
          </w:p>
        </w:tc>
        <w:tc>
          <w:tcPr>
            <w:tcW w:type="dxa" w:w="16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Frequency</w:t>
            </w:r>
          </w:p>
        </w:tc>
        <w:tc>
          <w:tcPr>
            <w:tcW w:type="dxa" w:w="30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Student Task</w:t>
            </w:r>
          </w:p>
        </w:tc>
        <w:tc>
          <w:tcPr>
            <w:tcW w:type="dxa" w:w="256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Teacher Role</w:t>
            </w:r>
          </w:p>
        </w:tc>
      </w:tr>
      <w:tr>
        <w:tc>
          <w:tcPr>
            <w:tcW w:type="dxa" w:w="2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Best justification paragraph</w:t>
            </w:r>
          </w:p>
        </w:tc>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Per unit (10x per level)</w:t>
            </w:r>
          </w:p>
        </w:tc>
        <w:tc>
          <w:tcPr>
            <w:tcW w:type="dxa" w:w="3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Self-select; annotate why this shows your best reasoning</w:t>
            </w:r>
          </w:p>
        </w:tc>
        <w:tc>
          <w:tcPr>
            <w:tcW w:type="dxa" w:w="2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Confirm selection is evidence-based; provide growth comment</w:t>
            </w:r>
          </w:p>
        </w:tc>
      </w:tr>
      <w:tr>
        <w:tc>
          <w:tcPr>
            <w:tcW w:type="dxa" w:w="2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Eco-reasoning reflection (Level 3+)</w:t>
            </w:r>
          </w:p>
        </w:tc>
        <w:tc>
          <w:tcPr>
            <w:tcW w:type="dxa" w:w="1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Per unit</w:t>
            </w:r>
          </w:p>
        </w:tc>
        <w:tc>
          <w:tcPr>
            <w:tcW w:type="dxa" w:w="3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Write: ‘My ecological thinking grew when I…’</w:t>
            </w:r>
          </w:p>
        </w:tc>
        <w:tc>
          <w:tcPr>
            <w:tcW w:type="dxa" w:w="2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Check for genuine ecological connection</w:t>
            </w:r>
          </w:p>
        </w:tc>
      </w:tr>
      <w:tr>
        <w:tc>
          <w:tcPr>
            <w:tcW w:type="dxa" w:w="2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CEFR self-assessment</w:t>
            </w:r>
          </w:p>
        </w:tc>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Each term</w:t>
            </w:r>
          </w:p>
        </w:tc>
        <w:tc>
          <w:tcPr>
            <w:tcW w:type="dxa" w:w="3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Mark current level on the descriptor grid</w:t>
            </w:r>
          </w:p>
        </w:tc>
        <w:tc>
          <w:tcPr>
            <w:tcW w:type="dxa" w:w="2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Confirm or challenge; discuss in conference</w:t>
            </w:r>
          </w:p>
        </w:tc>
      </w:tr>
    </w:tbl>
    <w:p>
      <w:pPr>
        <w:spacing w:after="60" w:before="60"/>
      </w:pPr>
      <w:r>
        <w:t xml:space="preserve"/>
      </w:r>
    </w:p>
    <w:p>
      <w:pPr>
        <w:pStyle w:val="Heading1"/>
        <w:pBdr>
          <w:bottom w:val="single" w:color="B71C1C" w:sz="6" w:space="4"/>
        </w:pBdr>
        <w:spacing w:after="160" w:before="360"/>
      </w:pPr>
      <w:r>
        <w:rPr>
          <w:rFonts w:ascii="Arial" w:cs="Arial" w:eastAsia="Arial" w:hAnsi="Arial"/>
          <w:b/>
          <w:bCs/>
          <w:color w:val="B71C1C"/>
          <w:sz w:val="34"/>
          <w:szCs w:val="34"/>
        </w:rPr>
        <w:t xml:space="preserve">Eco-Reasoning Extension</w:t>
      </w:r>
    </w:p>
    <w:p>
      <w:pPr>
        <w:spacing w:after="80" w:before="80"/>
        <w:jc w:val="left"/>
      </w:pPr>
      <w:r>
        <w:rPr>
          <w:rFonts w:ascii="Arial" w:cs="Arial" w:eastAsia="Arial" w:hAnsi="Arial"/>
          <w:b w:val="false"/>
          <w:bCs w:val="false"/>
          <w:i w:val="false"/>
          <w:iCs w:val="false"/>
          <w:color w:val="1A1A1A"/>
          <w:sz w:val="22"/>
          <w:szCs w:val="22"/>
        </w:rPr>
        <w:t xml:space="preserve">Eco-justification asks students to construct arguments about human responsibility toward the natural world. Required sentence frame at Level 3+: 'The text shows that humans have a responsibility to ___ because the evidence reveals ___.' Assessed on the same Four-Level Rubric. The eco-justification paragraph qualifies as the Portfolio best-justification paragraph for eco-designated units.</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5000"/>
        <w:gridCol w:w="2360"/>
      </w:tblGrid>
      <w:tr>
        <w:trPr>
          <w:tblHeader/>
        </w:trPr>
        <w:tc>
          <w:tcPr>
            <w:tcW w:type="dxa" w:w="20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Eco-Dialogue Extension</w:t>
            </w:r>
          </w:p>
        </w:tc>
        <w:tc>
          <w:tcPr>
            <w:tcW w:type="dxa" w:w="50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Prompt</w:t>
            </w:r>
          </w:p>
        </w:tc>
        <w:tc>
          <w:tcPr>
            <w:tcW w:type="dxa" w:w="236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Applicable Level</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Eco-Claim</w:t>
            </w:r>
          </w:p>
        </w:tc>
        <w:tc>
          <w:tcPr>
            <w:tcW w:type="dxa" w:w="5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'Write a claim about what responsibility the characters (or humans) have toward the natural world in this story.'</w:t>
            </w:r>
          </w:p>
        </w:tc>
        <w:tc>
          <w:tcPr>
            <w:tcW w:type="dxa" w:w="2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Level 3+</w:t>
            </w:r>
          </w:p>
        </w:tc>
      </w:tr>
      <w:tr>
        <w:tc>
          <w:tcPr>
            <w:tcW w:type="dxa" w:w="2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Eco-Warrant</w:t>
            </w:r>
          </w:p>
        </w:tc>
        <w:tc>
          <w:tcPr>
            <w:tcW w:type="dxa" w:w="5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'Explain WHY the textual evidence reveals something about human-nature responsibility.'</w:t>
            </w:r>
          </w:p>
        </w:tc>
        <w:tc>
          <w:tcPr>
            <w:tcW w:type="dxa" w:w="2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Level 3+</w:t>
            </w:r>
          </w:p>
        </w:tc>
      </w:tr>
    </w:tbl>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D32" w:sz="12"/>
              <w:left w:val="single" w:color="2E7D32" w:sz="20"/>
              <w:bottom w:val="single" w:color="2E7D32" w:sz="12"/>
              <w:right w:val="single" w:color="2E7D32" w:sz="12"/>
            </w:tcBorders>
            <w:shd w:fill="E8F5E9" w:val="clear"/>
            <w:tcMar>
              <w:top w:type="dxa" w:w="160"/>
              <w:left w:type="dxa" w:w="200"/>
              <w:bottom w:type="dxa" w:w="160"/>
              <w:right w:type="dxa" w:w="160"/>
            </w:tcMar>
          </w:tcPr>
          <w:p>
            <w:pPr>
              <w:spacing w:after="80" w:before="0"/>
            </w:pPr>
            <w:r>
              <w:rPr>
                <w:rFonts w:ascii="Arial" w:cs="Arial" w:eastAsia="Arial" w:hAnsi="Arial"/>
                <w:b/>
                <w:bCs/>
                <w:color w:val="2E7D32"/>
                <w:sz w:val="22"/>
                <w:szCs w:val="22"/>
              </w:rPr>
              <w:t xml:space="preserve">Version 3.0 Mandate — Non-Negotiable</w:t>
            </w:r>
          </w:p>
          <w:p>
            <w:pPr>
              <w:spacing w:after="40" w:before="40"/>
            </w:pPr>
            <w:r>
              <w:rPr>
                <w:rFonts w:ascii="Arial" w:cs="Arial" w:eastAsia="Arial" w:hAnsi="Arial"/>
                <w:color w:val="1A1A1A"/>
                <w:sz w:val="21"/>
                <w:szCs w:val="21"/>
              </w:rPr>
              <w:t xml:space="preserve">Teachers at Level 3 and above must incorporate at least one Ecological Reflection prompt per unit.</w:t>
            </w:r>
          </w:p>
          <w:p>
            <w:pPr>
              <w:spacing w:after="40" w:before="40"/>
            </w:pPr>
            <w:r>
              <w:rPr>
                <w:rFonts w:ascii="Arial" w:cs="Arial" w:eastAsia="Arial" w:hAnsi="Arial"/>
                <w:color w:val="1A1A1A"/>
                <w:sz w:val="21"/>
                <w:szCs w:val="21"/>
              </w:rPr>
              <w:t xml:space="preserve">This is required under the UNESCO ESD integration standard and the WWL Level 3+ audit protocol (Section 19, Guidebook v3.0).</w:t>
            </w:r>
          </w:p>
          <w:p>
            <w:pPr>
              <w:spacing w:after="40" w:before="40"/>
            </w:pPr>
            <w:r>
              <w:rPr>
                <w:rFonts w:ascii="Arial" w:cs="Arial" w:eastAsia="Arial" w:hAnsi="Arial"/>
                <w:color w:val="1A1A1A"/>
                <w:sz w:val="21"/>
                <w:szCs w:val="21"/>
              </w:rPr>
              <w:t xml:space="preserve">At Level 1–2, eco-reasoning prompts are strongly recommended; at Level 3+, they are mandatory.</w:t>
            </w:r>
          </w:p>
        </w:tc>
      </w:tr>
    </w:tbl>
    <w:p>
      <w:pPr>
        <w:spacing w:after="60" w:before="60"/>
      </w:pPr>
      <w:r>
        <w:t xml:space="preserve"/>
      </w:r>
    </w:p>
    <w:p>
      <w:pPr>
        <w:pStyle w:val="Heading1"/>
        <w:pBdr>
          <w:bottom w:val="single" w:color="B71C1C" w:sz="6" w:space="4"/>
        </w:pBdr>
        <w:spacing w:after="160" w:before="360"/>
      </w:pPr>
      <w:r>
        <w:rPr>
          <w:rFonts w:ascii="Arial" w:cs="Arial" w:eastAsia="Arial" w:hAnsi="Arial"/>
          <w:b/>
          <w:bCs/>
          <w:color w:val="B71C1C"/>
          <w:sz w:val="34"/>
          <w:szCs w:val="34"/>
        </w:rPr>
        <w:t xml:space="preserve">Cross-Stage Connections</w:t>
      </w:r>
    </w:p>
    <w:p>
      <w:pPr>
        <w:spacing w:after="80" w:before="80"/>
        <w:jc w:val="left"/>
      </w:pPr>
      <w:r>
        <w:rPr>
          <w:rFonts w:ascii="Arial" w:cs="Arial" w:eastAsia="Arial" w:hAnsi="Arial"/>
          <w:b w:val="false"/>
          <w:bCs w:val="false"/>
          <w:i w:val="false"/>
          <w:iCs w:val="false"/>
          <w:color w:val="1A1A1A"/>
          <w:sz w:val="22"/>
          <w:szCs w:val="22"/>
        </w:rPr>
        <w:t xml:space="preserve">Justify is the culminating cognitive output of each lesson. Its quality depends entirely on Stage 1 (what evidence was found) and Stage 2 (what criterion and judgment were reached). Never abbreviate or skip the earlier stages to reach the writing task faster: the writing will be weaker, not stronger.</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400"/>
        <w:gridCol w:w="3360"/>
        <w:gridCol w:w="2400"/>
      </w:tblGrid>
      <w:tr>
        <w:trPr>
          <w:tblHeader/>
        </w:trPr>
        <w:tc>
          <w:tcPr>
            <w:tcW w:type="dxa" w:w="22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Classroom Model</w:t>
            </w:r>
          </w:p>
        </w:tc>
        <w:tc>
          <w:tcPr>
            <w:tcW w:type="dxa" w:w="14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This Stage</w:t>
            </w:r>
          </w:p>
        </w:tc>
        <w:tc>
          <w:tcPr>
            <w:tcW w:type="dxa" w:w="336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Activity</w:t>
            </w:r>
          </w:p>
        </w:tc>
        <w:tc>
          <w:tcPr>
            <w:tcW w:type="dxa" w:w="2400"/>
            <w:tcBorders>
              <w:top w:val="single" w:color="B71C1C" w:sz="8"/>
              <w:left w:val="single" w:color="B71C1C" w:sz="8"/>
              <w:bottom w:val="single" w:color="B71C1C" w:sz="8"/>
              <w:right w:val="single" w:color="B71C1C" w:sz="8"/>
            </w:tcBorders>
            <w:shd w:fill="B71C1C" w:val="clear"/>
            <w:tcMar>
              <w:top w:type="dxa" w:w="100"/>
              <w:left w:type="dxa" w:w="140"/>
              <w:bottom w:type="dxa" w:w="100"/>
              <w:right w:type="dxa" w:w="140"/>
            </w:tcMar>
            <w:vAlign w:val="center"/>
          </w:tcPr>
          <w:p>
            <w:r>
              <w:rPr>
                <w:rFonts w:ascii="Arial" w:cs="Arial" w:eastAsia="Arial" w:hAnsi="Arial"/>
                <w:b/>
                <w:bCs/>
                <w:color w:val="FFFFFF"/>
                <w:sz w:val="20"/>
                <w:szCs w:val="20"/>
              </w:rPr>
              <w:t xml:space="preserve">Regulation / Eco Note</w:t>
            </w:r>
          </w:p>
        </w:tc>
      </w:tr>
      <w:tr>
        <w:tc>
          <w:tcPr>
            <w:tcW w:type="dxa" w:w="2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40-Minute Regulation-Aware Model</w:t>
            </w:r>
          </w:p>
        </w:tc>
        <w:tc>
          <w:tcPr>
            <w:tcW w:type="dxa" w:w="14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25–35 min</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Independent written justification (CEIW); quiet signal; offer sentence frame for Emerging learners</w:t>
            </w:r>
          </w:p>
        </w:tc>
        <w:tc>
          <w:tcPr>
            <w:tcW w:type="dxa" w:w="24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Bilateral movement warm-up optional (Section 12.1); Eco prompt at Level 3+</w:t>
            </w:r>
          </w:p>
        </w:tc>
      </w:tr>
      <w:tr>
        <w:tc>
          <w:tcPr>
            <w:tcW w:type="dxa" w:w="2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60-Minute Extended Model</w:t>
            </w:r>
          </w:p>
        </w:tc>
        <w:tc>
          <w:tcPr>
            <w:tcW w:type="dxa" w:w="14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38–52 min</w:t>
            </w:r>
          </w:p>
        </w:tc>
        <w:tc>
          <w:tcPr>
            <w:tcW w:type="dxa" w:w="3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Full CEIW paragraph + optional peer response</w:t>
            </w:r>
          </w:p>
        </w:tc>
        <w:tc>
          <w:tcPr>
            <w:tcW w:type="dxa" w:w="24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Writing sprint: 8 min timed; 4 min peer read</w:t>
            </w:r>
          </w:p>
        </w:tc>
      </w:tr>
    </w:tbl>
    <w:p>
      <w:pPr>
        <w:spacing w:after="60" w:before="60"/>
      </w:pPr>
      <w:r>
        <w:t xml:space="preserve"/>
      </w:r>
    </w:p>
    <w:p>
      <w:pPr>
        <w:spacing w:after="60" w:before="60"/>
      </w:pPr>
      <w:r>
        <w:t xml:space="preserve"/>
      </w:r>
    </w:p>
    <w:p>
      <w:pPr>
        <w:spacing w:after="80" w:before="80"/>
        <w:jc w:val="left"/>
      </w:pPr>
      <w:r>
        <w:rPr>
          <w:rFonts w:ascii="Arial" w:cs="Arial" w:eastAsia="Arial" w:hAnsi="Arial"/>
          <w:b w:val="false"/>
          <w:bCs w:val="false"/>
          <w:i/>
          <w:iCs/>
          <w:color w:val="4A5568"/>
          <w:sz w:val="18"/>
          <w:szCs w:val="18"/>
        </w:rPr>
        <w:t xml:space="preserve">This manual is part of the Jurassic English™ Comprehensive Lesson Creation System (Section 17, Teacher Guidebook v3.0). Professional development, certification, and quality assurance enquiries: programmes@worldwiselearning.org</w:t>
      </w:r>
    </w:p>
    <w:sectPr>
      <w:headerReference w:type="default" r:id="rId7"/>
      <w:footerReference w:type="default" r:id="rId8"/>
      <w:pgSz w:w="12240" w:h="15840" w:orient="portrait"/>
      <w:pgMar w:top="108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1D5DB" w:sz="4" w:space="4"/>
      </w:pBdr>
      <w:spacing w:after="0" w:before="120"/>
      <w:jc w:val="right"/>
    </w:pPr>
    <w:r>
      <w:rPr>
        <w:rFonts w:ascii="Arial" w:cs="Arial" w:eastAsia="Arial" w:hAnsi="Arial"/>
        <w:color w:val="4A5568"/>
        <w:sz w:val="18"/>
        <w:szCs w:val="18"/>
      </w:rPr>
      <w:t xml:space="preserve">World Wise Learning © 2026  |  Jurassic English™  |  Instructor Edition  |  Page </w:t>
    </w:r>
    <w:r>
      <w:rPr>
        <w:rFonts w:ascii="Arial" w:cs="Arial" w:eastAsia="Arial" w:hAnsi="Arial"/>
        <w:color w:val="4A556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71C1C" w:sz="6" w:space="4"/>
      </w:pBdr>
      <w:spacing w:after="120" w:before="0"/>
      <w:jc w:val="left"/>
    </w:pPr>
    <w:r>
      <w:rPr>
        <w:rFonts w:ascii="Arial" w:cs="Arial" w:eastAsia="Arial" w:hAnsi="Arial"/>
        <w:b/>
        <w:bCs/>
        <w:color w:val="B71C1C"/>
        <w:sz w:val="18"/>
        <w:szCs w:val="18"/>
      </w:rPr>
      <w:t xml:space="preserve">Jurassic English™  │  Stage 3: JUSTIFY</w:t>
    </w:r>
    <w:r>
      <w:rPr>
        <w:rFonts w:ascii="Arial" w:cs="Arial" w:eastAsia="Arial" w:hAnsi="Arial"/>
        <w:color w:val="4A5568"/>
        <w:sz w:val="18"/>
        <w:szCs w:val="18"/>
      </w:rPr>
      <w:t xml:space="preserve">  —  Teacher Manual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sz w:val="34"/>
      <w:szCs w:val="34"/>
    </w:rPr>
  </w:style>
  <w:style w:type="paragraph" w:styleId="Heading2">
    <w:name w:val="Heading 2"/>
    <w:basedOn w:val="Normal"/>
    <w:next w:val="Normal"/>
    <w:qFormat/>
    <w:pPr>
      <w:spacing w:after="120" w:before="280"/>
      <w:outlineLvl w:val="1"/>
    </w:pPr>
    <w:rPr>
      <w:rFonts w:ascii="Arial" w:cs="Arial" w:eastAsia="Arial" w:hAnsi="Arial"/>
      <w:b/>
      <w:bCs/>
      <w:sz w:val="28"/>
      <w:szCs w:val="28"/>
    </w:rPr>
  </w:style>
  <w:style w:type="paragraph" w:styleId="Heading3">
    <w:name w:val="Heading 3"/>
    <w:basedOn w:val="Normal"/>
    <w:next w:val="Normal"/>
    <w:qFormat/>
    <w:pPr>
      <w:spacing w:after="100" w:before="200"/>
      <w:outlineLvl w:val="2"/>
    </w:pPr>
    <w:rPr>
      <w:rFonts w:ascii="Arial" w:cs="Arial" w:eastAsia="Arial" w:hAnsi="Arial"/>
      <w:b/>
      <w:b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2026-03-20T18:37:10.514Z</dcterms:created>
  <dcterms:modified xsi:type="dcterms:W3CDTF">2026-03-20T18:37:10.514Z</dcterms:modified>
</cp:coreProperties>
</file>

<file path=docProps/custom.xml><?xml version="1.0" encoding="utf-8"?>
<Properties xmlns="http://schemas.openxmlformats.org/officeDocument/2006/custom-properties" xmlns:vt="http://schemas.openxmlformats.org/officeDocument/2006/docPropsVTypes"/>
</file>